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ТЕРРИТОРИАЛЬНАЯ ИЗБИРАТЕЛЬНАЯ КОМИССИЯ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КУРСКОГО РАЙОНА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pacing w:val="60"/>
          <w:kern w:val="3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0C09BB" w:rsidRPr="0019687A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</w:pP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26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38767A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декаб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ря 2023 года                                                   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  <w:t xml:space="preserve">      №  </w:t>
      </w:r>
      <w:r w:rsidR="00B078E6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3</w:t>
      </w:r>
      <w:r w:rsid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8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/</w:t>
      </w:r>
      <w:r w:rsidR="00B078E6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2</w:t>
      </w:r>
      <w:r w:rsidR="0038767A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1</w:t>
      </w:r>
      <w:r w:rsidR="00182C55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5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proofErr w:type="spellStart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ст-ца</w:t>
      </w:r>
      <w:proofErr w:type="spellEnd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Курская</w:t>
      </w:r>
    </w:p>
    <w:p w:rsidR="000C09BB" w:rsidRPr="0019687A" w:rsidRDefault="000C09BB" w:rsidP="00437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55" w:rsidRPr="00182C55" w:rsidRDefault="00182C55" w:rsidP="00182C5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основных мероприятий по повышению правовой культуры </w:t>
      </w:r>
    </w:p>
    <w:p w:rsidR="00182C55" w:rsidRPr="00182C55" w:rsidRDefault="00182C55" w:rsidP="00182C5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и обучению организаторов выборов и иных участников </w:t>
      </w:r>
    </w:p>
    <w:p w:rsidR="00182C55" w:rsidRPr="00182C55" w:rsidRDefault="00182C55" w:rsidP="00182C5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районе на 2024 год</w:t>
      </w:r>
    </w:p>
    <w:p w:rsidR="00182C55" w:rsidRPr="00182C55" w:rsidRDefault="00182C55" w:rsidP="00182C5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82C55" w:rsidRPr="00182C55" w:rsidRDefault="00182C55" w:rsidP="00182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9 статьи  6  Закона  Ставропольского края «О системе избирательных комиссий в Ставропольском крае», постановлением  избирательной комиссии  Ставропольского края от 22 декабря 2023 г. № 63/524-7 «О Плане основных мероприятий по повышению правовой</w:t>
      </w:r>
      <w:proofErr w:type="gramEnd"/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избирателей и обучению организаторов выборов и иных участников избирательного процесса в Ставропольском крае на 2024 год», в целях повышения правовой культуры избирателей и обучения организаторов выборов и иных участников избирательного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районе в 2024 году, </w:t>
      </w:r>
      <w:r w:rsidRPr="00182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</w:t>
      </w:r>
      <w:r w:rsidRPr="00182C55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района</w:t>
      </w:r>
    </w:p>
    <w:p w:rsidR="00182C55" w:rsidRPr="00182C55" w:rsidRDefault="00182C55" w:rsidP="00182C5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55" w:rsidRPr="00182C55" w:rsidRDefault="00182C55" w:rsidP="00182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82C55" w:rsidRPr="00182C55" w:rsidRDefault="00182C55" w:rsidP="00182C5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55" w:rsidRPr="00182C55" w:rsidRDefault="00182C55" w:rsidP="00182C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основных мероприятий по повышению правовой культуры избирателей и обучению организаторов выборов и иных участников избирательного процесса в </w:t>
      </w:r>
      <w:r w:rsidR="00EB77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районе на 2024 год (далее - план).</w:t>
      </w:r>
    </w:p>
    <w:p w:rsidR="00182C55" w:rsidRPr="00182C55" w:rsidRDefault="00182C55" w:rsidP="00182C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55" w:rsidRPr="00182C55" w:rsidRDefault="00182C55" w:rsidP="00182C55">
      <w:pPr>
        <w:overflowPunct w:val="0"/>
        <w:autoSpaceDE w:val="0"/>
        <w:autoSpaceDN w:val="0"/>
        <w:adjustRightInd w:val="0"/>
        <w:spacing w:after="0" w:line="240" w:lineRule="auto"/>
        <w:ind w:right="28" w:firstLine="7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2C5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2.</w:t>
      </w:r>
      <w:r w:rsidRPr="00182C55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 </w:t>
      </w:r>
      <w:r w:rsidRPr="00182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Разместить настоящее постановление на странице территориальной избирательной </w:t>
      </w:r>
      <w:proofErr w:type="gramStart"/>
      <w:r w:rsidRPr="00182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комиссии </w:t>
      </w:r>
      <w:r w:rsidR="00EB77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</w:t>
      </w:r>
      <w:r w:rsidRPr="00182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ского района официального информационного сайта администрации </w:t>
      </w:r>
      <w:r w:rsidR="00EB77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Курс</w:t>
      </w:r>
      <w:r w:rsidRPr="00182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кого муниципального округа Ставропольского края</w:t>
      </w:r>
      <w:proofErr w:type="gramEnd"/>
      <w:r w:rsidRPr="00182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информационно – телекоммуникационной сети «Интернет».</w:t>
      </w:r>
    </w:p>
    <w:p w:rsidR="00182C55" w:rsidRPr="00182C55" w:rsidRDefault="00182C55" w:rsidP="00182C55">
      <w:pPr>
        <w:overflowPunct w:val="0"/>
        <w:autoSpaceDE w:val="0"/>
        <w:autoSpaceDN w:val="0"/>
        <w:adjustRightInd w:val="0"/>
        <w:spacing w:after="0" w:line="240" w:lineRule="auto"/>
        <w:ind w:right="28" w:firstLine="7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82C55" w:rsidRPr="00182C55" w:rsidRDefault="00182C55" w:rsidP="00EB779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плана возложить на секретаря </w:t>
      </w:r>
      <w:r w:rsidRPr="00182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комиссии </w:t>
      </w:r>
      <w:r w:rsidR="00EB779F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Pr="00182C5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района</w:t>
      </w:r>
      <w:r w:rsidR="00EB7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B779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EB779F"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лючникову</w:t>
      </w:r>
      <w:proofErr w:type="spellEnd"/>
      <w:r w:rsidR="00EB77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B779F"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Л.Н.</w:t>
      </w:r>
      <w:r w:rsidRPr="00182C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B394D" w:rsidRDefault="004B394D" w:rsidP="004B394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B394D" w:rsidRDefault="004B394D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Пр</w:t>
      </w:r>
      <w:r w:rsidR="000C09BB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едседател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ь</w:t>
      </w:r>
    </w:p>
    <w:p w:rsidR="000C09BB" w:rsidRPr="0019687A" w:rsidRDefault="004B394D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комиссии</w:t>
      </w:r>
      <w:r w:rsidR="000C09BB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</w:t>
      </w:r>
      <w:r w:rsidR="000C09BB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EB779F" w:rsidRDefault="000C09BB" w:rsidP="00EB779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Л.Н. </w:t>
      </w:r>
      <w:proofErr w:type="spellStart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Ключникова</w:t>
      </w:r>
      <w:proofErr w:type="spellEnd"/>
    </w:p>
    <w:p w:rsid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  <w:sectPr w:rsidR="00EB77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EB779F" w:rsidRP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постановлением территориальной избирательной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t xml:space="preserve"> комиссии  </w:t>
      </w:r>
    </w:p>
    <w:p w:rsidR="00EB779F" w:rsidRP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Кур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t>ского района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br/>
        <w:t>от 2</w:t>
      </w:r>
      <w:r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EB779F">
        <w:rPr>
          <w:rFonts w:ascii="Times New Roman" w:eastAsia="Times New Roman" w:hAnsi="Times New Roman" w:cs="Times New Roman"/>
          <w:sz w:val="24"/>
          <w:lang w:eastAsia="ru-RU"/>
        </w:rPr>
        <w:t xml:space="preserve"> декабря 2023 г. № 38/</w:t>
      </w:r>
      <w:r>
        <w:rPr>
          <w:rFonts w:ascii="Times New Roman" w:eastAsia="Times New Roman" w:hAnsi="Times New Roman" w:cs="Times New Roman"/>
          <w:sz w:val="24"/>
          <w:lang w:eastAsia="ru-RU"/>
        </w:rPr>
        <w:t>215</w:t>
      </w:r>
    </w:p>
    <w:p w:rsidR="00EB779F" w:rsidRP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B779F" w:rsidRP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План ОСНОВНЫХ мероприятиЙ</w:t>
      </w: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Pr="00EB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повышению правовой культуры </w:t>
      </w:r>
      <w:r w:rsidRPr="00EB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и обучению организаторов выборов и иных участников </w:t>
      </w: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процесса </w:t>
      </w:r>
      <w:r w:rsidRPr="00EB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Курском</w:t>
      </w:r>
      <w:r w:rsidRPr="00EB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на 2024 год</w:t>
      </w: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B779F" w:rsidRPr="00EB779F" w:rsidRDefault="00EB779F" w:rsidP="00EB779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072"/>
        <w:gridCol w:w="1984"/>
        <w:gridCol w:w="3402"/>
      </w:tblGrid>
      <w:tr w:rsidR="00EB779F" w:rsidRPr="00307585" w:rsidTr="006E058A">
        <w:trPr>
          <w:trHeight w:val="32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307585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58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30758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30758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307585" w:rsidRDefault="00EB779F" w:rsidP="00307585">
            <w:pPr>
              <w:widowControl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585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307585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307585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Срок </w:t>
            </w:r>
          </w:p>
          <w:p w:rsidR="00EB779F" w:rsidRPr="00307585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07585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307585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07585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Исполнители  </w:t>
            </w:r>
          </w:p>
        </w:tc>
      </w:tr>
      <w:tr w:rsidR="00EB779F" w:rsidRPr="00307585" w:rsidTr="006E058A">
        <w:trPr>
          <w:trHeight w:val="32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307585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307585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307585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307585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EB779F" w:rsidRPr="00EB779F" w:rsidRDefault="00EB779F" w:rsidP="0030758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072"/>
        <w:gridCol w:w="1984"/>
        <w:gridCol w:w="3402"/>
      </w:tblGrid>
      <w:tr w:rsidR="00EB779F" w:rsidRPr="00EB779F" w:rsidTr="006E058A">
        <w:trPr>
          <w:cantSplit/>
          <w:trHeight w:val="2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Организация обучения кадров избирательных комиссий и других участников избирательного процесса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тематических дистанционных (в режиме видеоконференции, интернет-трансляций учебных занятий и </w:t>
            </w:r>
            <w:proofErr w:type="spellStart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) занятиях по вопросам организации и проведения выборов в единый день голосования, проводимых Центральной избирательной комиссией Российской Федерации,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 и избирательной комиссией Ставропольского края для организаторов выборов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очного и дистанционного обучения: членов территориальной избирательной комиссии и членов участковых избирательных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обучающих семинаров, совещаний </w:t>
            </w:r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(в том числе деловых игр, ситуационных тренингов)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 членами участковых избирательных комиссий, представителями политических  партий, средств массовой информации, иными заинтересованными лицами по вопросам подготовки и проведения выборов (референдумов)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3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участковых избирательных комиссий и резерва составов участковых избирательных комиссий, вновь сформированных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 обучения организаторов и иных участников выборов (референдумов)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357965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="00EB779F"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Оказание правовой и методической помощи  участковым  избирательным комиссиям, сформированным на территории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района, при подготовке и проведении выборов Президента Российской Федерации, Губернатора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ввода сведений об обучении и тестировании членов избирательных комиссий в Государственную автоматизированную систему Российской Федерации «Выборы» в соответствии с Регламентом использования Государственной автоматизированной системы Российской Федерации «Выборы»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избирательной комиссии из резерва составов участковых комиссий, обучением членов участковых избирательных комиссий, резерва составов участковых</w:t>
            </w:r>
            <w:proofErr w:type="gramEnd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357965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Д.В.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1"/>
              </w:num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>Взаимодействие с  участковыми избирательными комиссиями, отдел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ом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образования,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управлением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культуры  администрации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муниципального округа, </w:t>
            </w:r>
            <w:r w:rsidR="003579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центральной районной и районной детской модельными библиотеками,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иными организациями и учреждениями по вопросам повышения правовой грамотности избирателей (участников референдума)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tabs>
                <w:tab w:val="left" w:pos="76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</w:p>
          <w:p w:rsidR="00EB779F" w:rsidRPr="00EB779F" w:rsidRDefault="00EB779F" w:rsidP="00307585">
            <w:pPr>
              <w:tabs>
                <w:tab w:val="left" w:pos="7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 xml:space="preserve">2. Повышение правовой культуры избирателей и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иных участников избирательного процесса</w:t>
            </w:r>
          </w:p>
          <w:p w:rsidR="00EB779F" w:rsidRPr="00EB779F" w:rsidRDefault="00EB779F" w:rsidP="00307585">
            <w:pPr>
              <w:tabs>
                <w:tab w:val="left" w:pos="7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интеллектуальных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правовых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r w:rsidR="0035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конкурсов и других мероприятий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района по вопросам избирательного права и избирательного процесса для молодых и будущих избирателей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конкурса на </w:t>
            </w:r>
            <w:r w:rsidR="0035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информационно-разъяснительный материал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избирательного права и избирательного процесса, повышения правовой и политической культуры участников избирательного процесса среди </w:t>
            </w:r>
            <w:r w:rsidR="0035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библиотекарей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края, Ставропольской краевой общественной организации «Российский Союз Молодежи», муниципальному учреждению дополнительного образования</w:t>
            </w:r>
            <w:r w:rsidR="0035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 дополнительного образования для </w:t>
            </w:r>
            <w:r w:rsidR="0035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внешкольной работы и молодежной политики»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оздоровительно-образовательному центру «Звездный»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образовательным организациям общего образования в организации проведения дня голосования по выборам президентов ученического самоуправления образовательных организаций общего образования на</w:t>
            </w:r>
            <w:proofErr w:type="gramEnd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представителями молодежных организаций и объединений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 по вопросам повышения правовой культуры молодых и будущих избирателей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9F" w:rsidRPr="00EB779F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мероприятий  в  рамках Дня  молодого  избирателя:</w:t>
            </w:r>
          </w:p>
          <w:p w:rsidR="00EB779F" w:rsidRPr="00EB779F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апрель -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9F" w:rsidRPr="00EB779F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Дня открытых дверей в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9F" w:rsidRPr="00EB779F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участия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 в конкурсах, олимпиадах и иных мероприятиях по повышению правовой культуры молодых и будущих избирателей, организуемых Центральной избирательной комиссией Российской Федерации и избирательной комиссией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EB779F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центральной районной и районной детской модельных библиотеках</w:t>
            </w: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муниципального округа Ставропольского края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ов, диспутов, Дней Самоуправления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учащейся молодежью «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 о выборах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EB779F" w:rsidRPr="00EB779F" w:rsidRDefault="00EB779F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307585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МКУК</w:t>
            </w:r>
            <w:r w:rsidR="00EB779F"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«Централизованная библиотечная система»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EB779F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библиотеками в сфере информационной, культурной, просветительской, научной и образовательной деятельности по вопросам, связанным с организацией и проведением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</w:t>
            </w:r>
            <w:r w:rsidR="003075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УК «Централизованная библиотечная система»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EB779F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книжн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, октябрь-ноябрь</w:t>
            </w:r>
          </w:p>
          <w:p w:rsidR="00EB779F" w:rsidRPr="00EB779F" w:rsidRDefault="00EB779F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307585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УК «Централизованная библиотечная система»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EB779F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круглого стола «Я 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85" w:rsidRPr="00307585" w:rsidRDefault="00307585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казённое учреждение</w:t>
            </w:r>
          </w:p>
          <w:p w:rsidR="00EB779F" w:rsidRPr="00EB779F" w:rsidRDefault="00307585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«Курский молодежный Центр»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EB779F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 «Знай о выборах»</w:t>
            </w:r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проекта «Разговоры о </w:t>
            </w:r>
            <w:proofErr w:type="gramStart"/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3075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EB779F" w:rsidRPr="00EB779F" w:rsidRDefault="00EB779F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EB77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307585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школы Курского муниципального округа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F" w:rsidRPr="00EB779F" w:rsidRDefault="00EB779F" w:rsidP="0030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краевой научно-практической конференции «Гражданин. Выборы. Власть»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представителями молодежных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по вопросам повышения правовой культуры молодых и будущих избирателей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участия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 конкурсах и иных мероприятиях по повышению правовой культуры молодых и будущих избирателей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деятельности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по обеспечению избирательных прав инвалидов и взаимодействию с местным отделением общероссийской общественной организации инвалидов по вопросам обеспечения избирательных прав граждан, являющихся инвалидами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Шарлай</w:t>
            </w:r>
            <w:proofErr w:type="spellEnd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функционирования официального сайта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B779F" w:rsidRPr="00EB779F" w:rsidRDefault="00357965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Д.В.</w:t>
            </w:r>
          </w:p>
        </w:tc>
      </w:tr>
      <w:tr w:rsidR="00EB779F" w:rsidRPr="00EB779F" w:rsidTr="006E058A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Использование учебно-методических материалов (методические пособия, памятки, обучающие и другие материалы) по вопросам избирательного права и избирательного (</w:t>
            </w:r>
            <w:proofErr w:type="spellStart"/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референдумного</w:t>
            </w:r>
            <w:proofErr w:type="spellEnd"/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) процесса для правового просвещения участников избирательного (</w:t>
            </w:r>
            <w:proofErr w:type="spellStart"/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референдумного</w:t>
            </w:r>
            <w:proofErr w:type="spellEnd"/>
            <w:r w:rsidRPr="00EB77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)  процесса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</w:rPr>
              <w:t>на основе рекомендаций избирательной комиссии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779F" w:rsidRPr="00EB779F" w:rsidTr="006E058A">
        <w:trPr>
          <w:cantSplit/>
          <w:trHeight w:val="10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практики работы территориальных избирательных комиссий Ставропольского края по повышению правовой культуры избирателей (участников референдума) и обучению организаторов выборов и референдумов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779F" w:rsidRPr="00EB779F" w:rsidTr="006E058A">
        <w:trPr>
          <w:cantSplit/>
          <w:trHeight w:val="10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и направление для опубликования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средствах массовой информации, размещение</w:t>
            </w:r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 странице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официального информационного сайта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Курского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района Ставропольского края в информационно – телекоммуникационной  сети «Интернет» </w:t>
            </w:r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информационных материалов о проведении выборов и референдумов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Курского</w:t>
            </w:r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края, а также материалов, разъясняющих избирательное законодательство, освещающих деятельность территориальной избирательной комиссии, в том числе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внедрению</w:t>
            </w:r>
            <w:proofErr w:type="gramEnd"/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избирательный процесс инновационных избирательных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9F" w:rsidRPr="00EB779F" w:rsidTr="006E058A">
        <w:trPr>
          <w:cantSplit/>
          <w:trHeight w:val="10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77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содействия в проведении мероприятий избирательной комиссии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B779F" w:rsidRPr="00EB779F" w:rsidRDefault="00EB779F" w:rsidP="00307585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B779F" w:rsidRPr="00EB779F" w:rsidRDefault="00EB779F" w:rsidP="0030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  <w:r w:rsidRPr="00EB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B779F" w:rsidRPr="00EB779F" w:rsidRDefault="00EB779F" w:rsidP="0030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09BB" w:rsidRPr="0019687A" w:rsidRDefault="000C09BB" w:rsidP="00307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C09BB" w:rsidRPr="0019687A" w:rsidSect="003075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C7B"/>
    <w:multiLevelType w:val="hybridMultilevel"/>
    <w:tmpl w:val="B6D4853C"/>
    <w:lvl w:ilvl="0" w:tplc="7C484DB8">
      <w:start w:val="1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2742BB"/>
    <w:multiLevelType w:val="hybridMultilevel"/>
    <w:tmpl w:val="806295B6"/>
    <w:lvl w:ilvl="0" w:tplc="7464C1DA">
      <w:start w:val="1"/>
      <w:numFmt w:val="decimal"/>
      <w:lvlText w:val="1.%1."/>
      <w:lvlJc w:val="left"/>
      <w:pPr>
        <w:tabs>
          <w:tab w:val="num" w:pos="720"/>
        </w:tabs>
        <w:ind w:left="510" w:hanging="34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63246"/>
    <w:rsid w:val="000C09BB"/>
    <w:rsid w:val="00182C55"/>
    <w:rsid w:val="0019687A"/>
    <w:rsid w:val="00307585"/>
    <w:rsid w:val="00357965"/>
    <w:rsid w:val="0038767A"/>
    <w:rsid w:val="00437011"/>
    <w:rsid w:val="004B394D"/>
    <w:rsid w:val="00723943"/>
    <w:rsid w:val="00B078E6"/>
    <w:rsid w:val="00B61DC3"/>
    <w:rsid w:val="00E6356D"/>
    <w:rsid w:val="00E84E20"/>
    <w:rsid w:val="00EB779F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2023-12-15T07:04:00Z</cp:lastPrinted>
  <dcterms:created xsi:type="dcterms:W3CDTF">2024-01-11T12:25:00Z</dcterms:created>
  <dcterms:modified xsi:type="dcterms:W3CDTF">2024-01-12T11:59:00Z</dcterms:modified>
</cp:coreProperties>
</file>