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2C" w:rsidRDefault="00DE39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392C" w:rsidRDefault="00DE392C">
      <w:pPr>
        <w:pStyle w:val="ConsPlusNormal"/>
        <w:ind w:firstLine="540"/>
        <w:jc w:val="both"/>
        <w:outlineLvl w:val="0"/>
      </w:pPr>
    </w:p>
    <w:p w:rsidR="00DE392C" w:rsidRDefault="00DE39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392C" w:rsidRDefault="00DE392C">
      <w:pPr>
        <w:pStyle w:val="ConsPlusTitle"/>
        <w:jc w:val="center"/>
      </w:pPr>
    </w:p>
    <w:p w:rsidR="00DE392C" w:rsidRDefault="00DE392C">
      <w:pPr>
        <w:pStyle w:val="ConsPlusTitle"/>
        <w:jc w:val="center"/>
      </w:pPr>
      <w:r>
        <w:t>РАСПОРЯЖЕНИЕ</w:t>
      </w:r>
    </w:p>
    <w:p w:rsidR="00DE392C" w:rsidRDefault="00DE392C">
      <w:pPr>
        <w:pStyle w:val="ConsPlusTitle"/>
        <w:jc w:val="center"/>
      </w:pPr>
      <w:r>
        <w:t>от 17 апреля 2019 г. N 768-р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DE392C" w:rsidRDefault="00DE392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DE392C" w:rsidRDefault="00DE392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jc w:val="right"/>
      </w:pPr>
      <w:r>
        <w:t>Председатель Правительства</w:t>
      </w:r>
    </w:p>
    <w:p w:rsidR="00DE392C" w:rsidRDefault="00DE392C">
      <w:pPr>
        <w:pStyle w:val="ConsPlusNormal"/>
        <w:jc w:val="right"/>
      </w:pPr>
      <w:r>
        <w:t>Российской Федерации</w:t>
      </w:r>
    </w:p>
    <w:p w:rsidR="00DE392C" w:rsidRDefault="00DE392C">
      <w:pPr>
        <w:pStyle w:val="ConsPlusNormal"/>
        <w:jc w:val="right"/>
      </w:pPr>
      <w:r>
        <w:t>Д.МЕДВЕДЕВ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jc w:val="right"/>
        <w:outlineLvl w:val="0"/>
      </w:pPr>
      <w:r>
        <w:t>Утвержден</w:t>
      </w:r>
    </w:p>
    <w:p w:rsidR="00DE392C" w:rsidRDefault="00DE392C">
      <w:pPr>
        <w:pStyle w:val="ConsPlusNormal"/>
        <w:jc w:val="right"/>
      </w:pPr>
      <w:r>
        <w:t>распоряжением Правительства</w:t>
      </w:r>
    </w:p>
    <w:p w:rsidR="00DE392C" w:rsidRDefault="00DE392C">
      <w:pPr>
        <w:pStyle w:val="ConsPlusNormal"/>
        <w:jc w:val="right"/>
      </w:pPr>
      <w:r>
        <w:lastRenderedPageBreak/>
        <w:t>Российской Федерации</w:t>
      </w:r>
    </w:p>
    <w:p w:rsidR="00DE392C" w:rsidRDefault="00DE392C">
      <w:pPr>
        <w:pStyle w:val="ConsPlusNormal"/>
        <w:jc w:val="right"/>
      </w:pPr>
      <w:r>
        <w:t>от 17 апреля 2019 г. N 768-р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</w:pPr>
      <w:bookmarkStart w:id="0" w:name="P32"/>
      <w:bookmarkEnd w:id="0"/>
      <w:r>
        <w:t>СТАНДАРТ</w:t>
      </w:r>
    </w:p>
    <w:p w:rsidR="00DE392C" w:rsidRDefault="00DE392C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  <w:outlineLvl w:val="1"/>
      </w:pPr>
      <w:r>
        <w:t>I. Общие положения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 целом;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стандарта, утверждаемой высшим должностным лицом.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lastRenderedPageBreak/>
        <w:t xml:space="preserve">6. 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7.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8.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самоуправления.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DE392C" w:rsidRDefault="00DE392C">
      <w:pPr>
        <w:pStyle w:val="ConsPlusTitle"/>
        <w:jc w:val="center"/>
      </w:pPr>
      <w:r>
        <w:t>на заседаниях коллегиального органа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DE392C" w:rsidRDefault="00DE392C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23. Разработка перечня товарных рынков осуществляется в том числе на основе следующих данных: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  <w:outlineLvl w:val="1"/>
      </w:pPr>
      <w:r>
        <w:t>V. Разработка "дорожной карты"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работы органов исполнительной власти субъектов Российской Федерации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сведения о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35. 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  <w:outlineLvl w:val="1"/>
      </w:pPr>
      <w:r>
        <w:t>VI. Проведение мониторинга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>38. 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контроля за деятельностью субъектов естественных монополий;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доступности, результаты которого ежегодно публикуются на официальном сайте в сети "Интернет";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DE392C" w:rsidRDefault="00DE392C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44. 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(в рамках соглашения).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49.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Title"/>
        <w:jc w:val="center"/>
        <w:outlineLvl w:val="1"/>
      </w:pPr>
      <w:r>
        <w:t>VII. Создание и реализация механизмов общественного</w:t>
      </w:r>
    </w:p>
    <w:p w:rsidR="00DE392C" w:rsidRDefault="00DE392C">
      <w:pPr>
        <w:pStyle w:val="ConsPlusTitle"/>
        <w:jc w:val="center"/>
      </w:pPr>
      <w:r>
        <w:t>контроля за деятельностью субъектов естественных монополий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  <w:r>
        <w:t xml:space="preserve">51.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DE392C" w:rsidRDefault="00DE392C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 в осуществлении общественного контроля за деятельностью субъектов естественных монополий;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54. 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DE392C" w:rsidRDefault="00DE392C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DE392C" w:rsidRDefault="00DE392C">
      <w:pPr>
        <w:pStyle w:val="ConsPlusTitle"/>
        <w:jc w:val="center"/>
      </w:pPr>
      <w:r>
        <w:t>работ, услуг о состоянии конкуренции и деятельности</w:t>
      </w:r>
    </w:p>
    <w:p w:rsidR="00DE392C" w:rsidRDefault="00DE392C">
      <w:pPr>
        <w:pStyle w:val="ConsPlusTitle"/>
        <w:jc w:val="center"/>
      </w:pPr>
      <w:r>
        <w:t>по содействию развитию конкуренции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Normal"/>
        <w:ind w:firstLine="540"/>
        <w:jc w:val="both"/>
      </w:pPr>
      <w:r>
        <w:t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интернет-портала об инвестиционной деятельности в субъекте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 схемы) и показателей эффективности региональной программы, в рамках которой осуществляется эта деятельность.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58. 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DE392C" w:rsidRDefault="00DE392C">
      <w:pPr>
        <w:pStyle w:val="ConsPlusNormal"/>
        <w:spacing w:before="220"/>
        <w:ind w:firstLine="540"/>
        <w:jc w:val="both"/>
      </w:pPr>
      <w:r>
        <w:t xml:space="preserve">59. 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ind w:firstLine="540"/>
        <w:jc w:val="both"/>
      </w:pPr>
    </w:p>
    <w:p w:rsidR="00DE392C" w:rsidRDefault="00DE392C">
      <w:pPr>
        <w:pStyle w:val="ConsPlusNormal"/>
        <w:jc w:val="right"/>
        <w:outlineLvl w:val="1"/>
      </w:pPr>
      <w:r>
        <w:t>Приложение</w:t>
      </w:r>
    </w:p>
    <w:p w:rsidR="00DE392C" w:rsidRDefault="00DE392C">
      <w:pPr>
        <w:pStyle w:val="ConsPlusNormal"/>
        <w:jc w:val="right"/>
      </w:pPr>
      <w:r>
        <w:t>к стандарту развития конкуренции</w:t>
      </w:r>
    </w:p>
    <w:p w:rsidR="00DE392C" w:rsidRDefault="00DE392C">
      <w:pPr>
        <w:pStyle w:val="ConsPlusNormal"/>
        <w:jc w:val="right"/>
      </w:pPr>
      <w:r>
        <w:t>в субъектах Российской Федерации</w:t>
      </w:r>
    </w:p>
    <w:p w:rsidR="00DE392C" w:rsidRDefault="00DE392C">
      <w:pPr>
        <w:pStyle w:val="ConsPlusNormal"/>
        <w:jc w:val="center"/>
      </w:pPr>
    </w:p>
    <w:p w:rsidR="00DE392C" w:rsidRDefault="00DE392C">
      <w:pPr>
        <w:pStyle w:val="ConsPlusTitle"/>
        <w:jc w:val="center"/>
      </w:pPr>
      <w:bookmarkStart w:id="5" w:name="P323"/>
      <w:bookmarkEnd w:id="5"/>
      <w:r>
        <w:t>ПЕРЕЧЕНЬ</w:t>
      </w:r>
    </w:p>
    <w:p w:rsidR="00DE392C" w:rsidRDefault="00DE392C">
      <w:pPr>
        <w:pStyle w:val="ConsPlusTitle"/>
        <w:jc w:val="center"/>
      </w:pPr>
      <w:r>
        <w:t>ТОВАРНЫХ РЫНКОВ ДЛЯ СОДЕЙСТВИЯ РАЗВИТИЮ КОНКУРЕНЦИИ</w:t>
      </w:r>
    </w:p>
    <w:p w:rsidR="00DE392C" w:rsidRDefault="00DE392C">
      <w:pPr>
        <w:pStyle w:val="ConsPlusTitle"/>
        <w:jc w:val="center"/>
      </w:pPr>
      <w:r>
        <w:t>В СУБЪЕКТЕ РОССИЙСКОЙ ФЕДЕРАЦИИ</w:t>
      </w:r>
    </w:p>
    <w:p w:rsidR="00DE392C" w:rsidRDefault="00DE39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DE392C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392C" w:rsidRDefault="00DE392C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E392C" w:rsidRDefault="00DE392C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DE392C" w:rsidRDefault="00DE392C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5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60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50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70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40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98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5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20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товарной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80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90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70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70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70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70</w:t>
            </w:r>
          </w:p>
        </w:tc>
      </w:tr>
      <w:tr w:rsidR="00DE392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2C" w:rsidRDefault="00DE392C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2C" w:rsidRDefault="00DE392C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2C" w:rsidRDefault="00DE392C">
            <w:pPr>
              <w:pStyle w:val="ConsPlusNormal"/>
              <w:jc w:val="center"/>
            </w:pPr>
            <w:r>
              <w:t>100</w:t>
            </w:r>
          </w:p>
        </w:tc>
      </w:tr>
    </w:tbl>
    <w:p w:rsidR="00DE392C" w:rsidRDefault="00DE392C">
      <w:pPr>
        <w:pStyle w:val="ConsPlusNormal"/>
        <w:jc w:val="both"/>
      </w:pPr>
    </w:p>
    <w:p w:rsidR="00DE392C" w:rsidRDefault="00DE392C">
      <w:pPr>
        <w:pStyle w:val="ConsPlusNormal"/>
        <w:jc w:val="both"/>
      </w:pPr>
    </w:p>
    <w:p w:rsidR="00DE392C" w:rsidRDefault="00DE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C0B" w:rsidRDefault="00535C0B">
      <w:bookmarkStart w:id="6" w:name="_GoBack"/>
      <w:bookmarkEnd w:id="6"/>
    </w:p>
    <w:sectPr w:rsidR="00535C0B" w:rsidSect="0004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2C"/>
    <w:rsid w:val="00535C0B"/>
    <w:rsid w:val="00D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631DF0B1BCFA04FE3C03B5115D932A5EFB9A54DE596E10B1945B298702BF3844DDC452880D070BADCB570D9BA024DD207BE8A88BC51A4F2ZDE" TargetMode="External"/><Relationship Id="rId13" Type="http://schemas.openxmlformats.org/officeDocument/2006/relationships/hyperlink" Target="consultantplus://offline/ref=82B631DF0B1BCFA04FE3C03B5115D932A4E4BCA043E496E10B1945B298702BF3964D84492B81CE72B2C9E3219CFEZ6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B631DF0B1BCFA04FE3C03B5115D932A5E7B8AA47EB96E10B1945B298702BF3964D84492B81CE72B2C9E3219CFEZ6E" TargetMode="External"/><Relationship Id="rId12" Type="http://schemas.openxmlformats.org/officeDocument/2006/relationships/hyperlink" Target="consultantplus://offline/ref=82B631DF0B1BCFA04FE3C03B5115D932A4E4BCA043E496E10B1945B298702BF3964D84492B81CE72B2C9E3219CFEZ6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B631DF0B1BCFA04FE3C03B5115D932A5E7B8A043E496E10B1945B298702BF3844DDC452880D072B1DCB570D9BA024DD207BE8A88BC51A4F2Z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B631DF0B1BCFA04FE3C03B5115D932A5E7B8AA4CE596E10B1945B298702BF3964D84492B81CE72B2C9E3219CFEZ6E" TargetMode="External"/><Relationship Id="rId11" Type="http://schemas.openxmlformats.org/officeDocument/2006/relationships/hyperlink" Target="consultantplus://offline/ref=82B631DF0B1BCFA04FE3C03B5115D932A4E5BEAA43EB96E10B1945B298702BF3844DDC452880D176B1DCB570D9BA024DD207BE8A88BC51A4F2ZD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B631DF0B1BCFA04FE3C03B5115D932A6EEB9A44DE196E10B1945B298702BF3844DDC452880D072BADCB570D9BA024DD207BE8A88BC51A4F2ZDE" TargetMode="External"/><Relationship Id="rId10" Type="http://schemas.openxmlformats.org/officeDocument/2006/relationships/hyperlink" Target="consultantplus://offline/ref=82B631DF0B1BCFA04FE3C03B5115D932A4E5BEAA43EB96E10B1945B298702BF3844DDC472D82DB27E393B42C9EEE114FD307BD8A97FBZ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631DF0B1BCFA04FE3C03B5115D932A5EFB9A54DE596E10B1945B298702BF3844DDC452880D077B0DCB570D9BA024DD207BE8A88BC51A4F2ZDE" TargetMode="External"/><Relationship Id="rId14" Type="http://schemas.openxmlformats.org/officeDocument/2006/relationships/hyperlink" Target="consultantplus://offline/ref=82B631DF0B1BCFA04FE3C03B5115D932A5E0B4AB44E096E10B1945B298702BF3844DDC452880D072B3DCB570D9BA024DD207BE8A88BC51A4F2Z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12720</Words>
  <Characters>72506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2019-10-31T04:25:00Z</dcterms:created>
  <dcterms:modified xsi:type="dcterms:W3CDTF">2019-10-31T04:25:00Z</dcterms:modified>
</cp:coreProperties>
</file>